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1C" w:rsidRPr="00B00314" w:rsidRDefault="0046341C" w:rsidP="004634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341C" w:rsidRPr="00B00314" w:rsidRDefault="0046341C" w:rsidP="00B003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«Бій  під  Крутами   (вшанування  пам’яті  юнаків, які героїчно загинули у бою  під Крутами  29 січня 1918 року)»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Мета заходу:</w:t>
      </w:r>
    </w:p>
    <w:p w:rsidR="0046341C" w:rsidRPr="00B00314" w:rsidRDefault="0046341C" w:rsidP="000F111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формування  в учнів почуття  патріотизму, любові до свого народу, його історії та героїчного минулого;</w:t>
      </w:r>
    </w:p>
    <w:p w:rsidR="0046341C" w:rsidRPr="00B00314" w:rsidRDefault="0046341C" w:rsidP="000F111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формування й розвиток мотивації, спрямованої на підготовку до захисту Вітчизни, на прикладі подвигу однолітків;</w:t>
      </w:r>
    </w:p>
    <w:p w:rsidR="0046341C" w:rsidRPr="00B00314" w:rsidRDefault="0046341C" w:rsidP="000F111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формування інтересу до літератури про бій під Крутами.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І  згадую  чомусь я мимоволі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Великих лицарів своїх;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Лежать вони покинутими в полі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І без хрестів могили їх.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О.Олесь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1 – й  учень:   У пам’яті кількох народів зберігається історія про 300 героїв, що загинули, захищаючи свою землю від нападників. </w:t>
      </w:r>
      <w:r w:rsidRPr="00B0031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давніх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греків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спартанців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Фермопілах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грузинів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– 300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арагвійців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ідступах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Тбілісі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– 300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Берестечком та 300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юнаків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Крутами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  <w:r w:rsidRPr="00B00314">
        <w:rPr>
          <w:rFonts w:ascii="Times New Roman" w:hAnsi="Times New Roman" w:cs="Times New Roman"/>
          <w:sz w:val="28"/>
          <w:szCs w:val="28"/>
        </w:rPr>
        <w:br/>
      </w: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2 – й  учень:   </w:t>
      </w:r>
      <w:r w:rsidRPr="00B00314">
        <w:rPr>
          <w:rFonts w:ascii="Times New Roman" w:hAnsi="Times New Roman" w:cs="Times New Roman"/>
          <w:sz w:val="28"/>
          <w:szCs w:val="28"/>
        </w:rPr>
        <w:t xml:space="preserve">У бою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Крутами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полягли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київські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1918-го стали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сво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єї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ітчизни</w:t>
      </w:r>
      <w:proofErr w:type="spellEnd"/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2 – й  учень: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Поїзди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проходячи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повз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цю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маленьку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станцію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стишують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хід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, а в день, коли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сталася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трагедія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тривожно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сигналять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...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Немов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будять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приспану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присипану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порохом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забуття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часів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СРСР нашу </w:t>
      </w:r>
      <w:proofErr w:type="spellStart"/>
      <w:proofErr w:type="gramStart"/>
      <w:r w:rsidRPr="00B00314">
        <w:rPr>
          <w:rFonts w:ascii="Times New Roman" w:hAnsi="Times New Roman" w:cs="Times New Roman"/>
          <w:bCs/>
          <w:sz w:val="28"/>
          <w:szCs w:val="28"/>
        </w:rPr>
        <w:t>пам’ять</w:t>
      </w:r>
      <w:proofErr w:type="spellEnd"/>
      <w:proofErr w:type="gram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про тих,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поклав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голову в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цих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полях,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захищаючи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незалежність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молодої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Української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Передчасно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зів’ялий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цвіт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B00314">
        <w:rPr>
          <w:rFonts w:ascii="Times New Roman" w:hAnsi="Times New Roman" w:cs="Times New Roman"/>
          <w:bCs/>
          <w:sz w:val="28"/>
          <w:szCs w:val="28"/>
        </w:rPr>
        <w:t>юн</w:t>
      </w:r>
      <w:proofErr w:type="gramEnd"/>
      <w:r w:rsidRPr="00B00314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романтики...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3 – й  учень:  </w:t>
      </w:r>
      <w:r w:rsidRPr="00B0031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наважуючись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зустріти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ворога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Бахмачі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перебувало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2 тис</w:t>
      </w: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по-більшовицькому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налаштованих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Аверкій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Гончаренко наказав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відступити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залізничної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станц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рути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зайняти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оборону.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дісталися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28 січня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28 </w:t>
        </w:r>
        <w:proofErr w:type="spellStart"/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січня</w:t>
        </w:r>
        <w:proofErr w:type="spellEnd"/>
      </w:hyperlink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1918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1918</w:t>
        </w:r>
      </w:hyperlink>
      <w:r w:rsidRPr="00B00314">
        <w:rPr>
          <w:rFonts w:ascii="Times New Roman" w:hAnsi="Times New Roman" w:cs="Times New Roman"/>
          <w:sz w:val="28"/>
          <w:szCs w:val="28"/>
        </w:rPr>
        <w:t xml:space="preserve"> р.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непогано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для бою.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4 – й  учень:   </w:t>
      </w:r>
      <w:r w:rsidRPr="00B00314">
        <w:rPr>
          <w:rFonts w:ascii="Times New Roman" w:hAnsi="Times New Roman" w:cs="Times New Roman"/>
          <w:sz w:val="28"/>
          <w:szCs w:val="28"/>
        </w:rPr>
        <w:t xml:space="preserve">На правому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фланзі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штучну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перешкоду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насип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залізничної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лівому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студентська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сотня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наявного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там загону почала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риття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окопів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спорудження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земляних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укріплень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Командувач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загону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Бахмачі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Аверкій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Гончаренко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бійців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</w:t>
      </w:r>
      <w:hyperlink r:id="rId8" w:tooltip="Юнкер" w:history="1">
        <w:proofErr w:type="spellStart"/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юнкерів</w:t>
        </w:r>
        <w:proofErr w:type="spellEnd"/>
      </w:hyperlink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поділений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(взводи) 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28-30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Три з них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зайняли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окопах,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четверта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складалася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наймолодших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тих,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вмів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іляти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перебувала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резерві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</w:p>
    <w:p w:rsidR="0046341C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5 – й  учень:   </w:t>
      </w:r>
      <w:hyperlink r:id="rId9" w:tooltip="29 січня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16 (29) січня</w:t>
        </w:r>
      </w:hyperlink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tooltip="1918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1918</w:t>
        </w:r>
      </w:hyperlink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 року на залізничній станції поблизу селища </w:t>
      </w:r>
      <w:hyperlink r:id="rId11" w:tooltip="Крути (Ніжинський район)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Крути</w:t>
        </w:r>
      </w:hyperlink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 за 130 </w:t>
      </w:r>
      <w:hyperlink r:id="rId12" w:tooltip="Кілометр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кілометрів</w:t>
        </w:r>
      </w:hyperlink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 на північний-схід від </w:t>
      </w:r>
      <w:hyperlink r:id="rId13" w:tooltip="Київ" w:history="1">
        <w:r w:rsidRPr="00B00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Києва</w:t>
        </w:r>
      </w:hyperlink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  розпочався  бій, який  тривав годин із 5 між 4-тисячною більшовицькою армією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Муравйова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300-ми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київськими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студентами,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захищали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підступи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4" w:rsidRPr="00B00314" w:rsidRDefault="00B00314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Перегляд відео-ролика</w:t>
      </w:r>
      <w:bookmarkStart w:id="0" w:name="_GoBack"/>
      <w:bookmarkEnd w:id="0"/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1 – й  учень:  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матросів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Ремньова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потрапив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обстріл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Крут. 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тилу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підтримував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бронепоїзд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гармата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здійснювали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виїзди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наступаючому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ворогові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вели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обстріл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залізничній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гармата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сотника Лещенка,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стримували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наступ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більшовиків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Втрачаючи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вбитих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поранених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більшовики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вперто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просувалися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вперед.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гарматна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батарея,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часу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стріляла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зосередила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позиціях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тривав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5 годин,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відбили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атак,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понесли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час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Ремньову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надходити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загони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Муравйова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1-й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Петроградський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), а з боку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ідійшов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ворожий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бронепоїзд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почав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обстріл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обороняючих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тилу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4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Тим часом, за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B003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юнкерів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кінчатися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набої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скінчилися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снаряди для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гармати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Наступаючі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загони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обходити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обороняючих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флангу — настала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юнкери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студентами почали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відхід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ільшості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відступити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потязі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чекав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Коло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Бобрик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знаходився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керуванням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Симона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Петлюри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отримавши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звістку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повстання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заводі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Арсенал Петлюра рушив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якраз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там.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6 – й  учень: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Юнкери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відступали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прикриттям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насипу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спереду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відкрита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місцевість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Командир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студентської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сотник Омельченко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вирі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шив</w:t>
      </w:r>
      <w:proofErr w:type="spellEnd"/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багнетною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атакою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відбити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ворога, 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відступати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Атака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виявилася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невдалою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юнакам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протистояли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вояки. Сотня понесла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загинув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сам Омельченко.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резерву не дала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більшовикам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оточити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знищити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. Забравши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вбитих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поранених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військо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відходило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ешелону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Росіяни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хотіли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 все, не могли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наздогнати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наступ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того ж дня —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залізницю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розібрали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Крутах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3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зібралися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підрозділи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виявилося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вистачає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стояла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найближче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сум'ятті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битви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полон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потрапив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розвідувальний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взвод (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lastRenderedPageBreak/>
        <w:t>чоловік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Відступаючи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сутінках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орієнтир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прямо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станцію</w:t>
      </w:r>
      <w:proofErr w:type="spellEnd"/>
      <w:proofErr w:type="gramStart"/>
      <w:r w:rsidRPr="00B0031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рути,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зайняту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червоногвардійцями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більшовицьких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командирів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Єгор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Попов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івновагу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дізнався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якось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наказав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ліквідувати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полонених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свідченнями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 27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знущалися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розстріляли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7-го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Пипський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розстрілом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перший почав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вмерла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підтримали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спів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розстрілу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деякий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забороняли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ховати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7 – й  учень: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Існувало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версій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трагічні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Крутами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загибелі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звинувачували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сил, яке кинуло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напризволяще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сильного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ворога.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доводять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командування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УНР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розуміло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стратегічну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бахмацького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передбачалося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відправити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Гайдамацього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кошу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Слобідської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чолі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 Симоном Петлюрою, але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краху 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січневі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8 – й  учень: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Трагічна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студентського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куреня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Крутами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стала символом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патріотизму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жертовності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незалежну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1918 року,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більшовиками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Брестської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мирної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угоди і з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поверненням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уряду УНР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Центрально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1918 року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вирішено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урочисто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перепоховати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полеглих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Аскольдовій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вояків-студентів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перевезено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відбулася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громадська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жалоба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церемонії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виступив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Грушевський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назвав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вчинок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героїчним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десятиліть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існували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суперечливі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трактування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Тичина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присвятив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Пам'яті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тридцяти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»</w:t>
      </w:r>
      <w:r w:rsidRPr="00B0031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6 – й  учень: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</w:rPr>
        <w:t xml:space="preserve">   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Аскольдовій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Поховали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—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мучнів-українців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Славних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... </w:t>
      </w:r>
      <w:r w:rsidRPr="00B00314">
        <w:rPr>
          <w:rFonts w:ascii="Times New Roman" w:hAnsi="Times New Roman" w:cs="Times New Roman"/>
          <w:sz w:val="28"/>
          <w:szCs w:val="28"/>
        </w:rPr>
        <w:br/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Аскольдовій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цвіт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! —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По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кривавій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Нам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r w:rsidRPr="00B00314">
        <w:rPr>
          <w:rFonts w:ascii="Times New Roman" w:hAnsi="Times New Roman" w:cs="Times New Roman"/>
          <w:sz w:val="28"/>
          <w:szCs w:val="28"/>
        </w:rPr>
        <w:br/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На кого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посміла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знятись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Зрадницька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рука?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Квітне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Дніпро-ріка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... </w:t>
      </w:r>
      <w:r w:rsidRPr="00B00314">
        <w:rPr>
          <w:rFonts w:ascii="Times New Roman" w:hAnsi="Times New Roman" w:cs="Times New Roman"/>
          <w:sz w:val="28"/>
          <w:szCs w:val="28"/>
        </w:rPr>
        <w:br/>
      </w:r>
      <w:r w:rsidRPr="00B00314">
        <w:rPr>
          <w:rFonts w:ascii="Times New Roman" w:hAnsi="Times New Roman" w:cs="Times New Roman"/>
          <w:sz w:val="28"/>
          <w:szCs w:val="28"/>
        </w:rPr>
        <w:lastRenderedPageBreak/>
        <w:br/>
        <w:t xml:space="preserve">    На кого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завзявся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воїн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?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Боже, покарай!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все вони любили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коханий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край.</w:t>
      </w:r>
      <w:r w:rsidRPr="00B00314">
        <w:rPr>
          <w:rFonts w:ascii="Times New Roman" w:hAnsi="Times New Roman" w:cs="Times New Roman"/>
          <w:sz w:val="28"/>
          <w:szCs w:val="28"/>
        </w:rPr>
        <w:br/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Вмерли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Новім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Заповіті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славою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святих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Аскольдовій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Поховали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  <w:r w:rsidRPr="00B00314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Тичина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1918 </w:t>
      </w:r>
      <w:proofErr w:type="spellStart"/>
      <w:proofErr w:type="gramStart"/>
      <w:r w:rsidRPr="00B0031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031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7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збереглися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похований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Аскольдовій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могилі</w:t>
      </w:r>
      <w:proofErr w:type="spellEnd"/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(Учні по черзі  зачитують імена героїв)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</w:rPr>
        <w:t xml:space="preserve">Сотник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Омельченко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Шульгин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</w:rPr>
        <w:t xml:space="preserve">Лука Дмитренко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Лизогуб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Попович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Андріїв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</w:rPr>
        <w:t>Божко-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Божинський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Ізидор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Курик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Шерстюк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Головощук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Чижі</w:t>
      </w:r>
      <w:proofErr w:type="gramStart"/>
      <w:r w:rsidRPr="00B0031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Соколовський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Корпан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М.Ганькевич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Тарнавський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Гнаткевич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Пипський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lastRenderedPageBreak/>
        <w:t>4 – й  учень: Вшануємо пам'ять загиблих хвилиною мовчання.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2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у 80-ті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роковини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бою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монетним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двором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випущено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обіг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пам'ятну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гривню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>.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1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Подвиг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юнаків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Крутами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кров’ю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окропили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святу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землю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 волю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навічно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як символ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честі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3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Вони -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курсанти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виявилися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патріотизмові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класові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і, коли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постала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потреба, без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вагань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віддали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молоде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народу.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 xml:space="preserve">5 – й  учень: </w:t>
      </w:r>
      <w:r w:rsidRPr="00B00314">
        <w:rPr>
          <w:rFonts w:ascii="Times New Roman" w:hAnsi="Times New Roman" w:cs="Times New Roman"/>
          <w:sz w:val="28"/>
          <w:szCs w:val="28"/>
        </w:rPr>
        <w:t xml:space="preserve">В масштабах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битва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невеличка. Вона не є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Просто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- символ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нескореного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духу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314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B003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0314">
        <w:rPr>
          <w:rFonts w:ascii="Times New Roman" w:hAnsi="Times New Roman" w:cs="Times New Roman"/>
          <w:sz w:val="28"/>
          <w:szCs w:val="28"/>
          <w:lang w:val="uk-UA"/>
        </w:rPr>
        <w:t>Учні  всі  разом промовляють слова:</w:t>
      </w:r>
    </w:p>
    <w:p w:rsidR="0046341C" w:rsidRPr="00B00314" w:rsidRDefault="0046341C" w:rsidP="000F1110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00314">
        <w:rPr>
          <w:rFonts w:ascii="Times New Roman" w:hAnsi="Times New Roman" w:cs="Times New Roman"/>
          <w:bCs/>
          <w:sz w:val="28"/>
          <w:szCs w:val="28"/>
        </w:rPr>
        <w:t>Вічна</w:t>
      </w:r>
      <w:proofErr w:type="spellEnd"/>
      <w:r w:rsidRPr="00B00314">
        <w:rPr>
          <w:rFonts w:ascii="Times New Roman" w:hAnsi="Times New Roman" w:cs="Times New Roman"/>
          <w:bCs/>
          <w:sz w:val="28"/>
          <w:szCs w:val="28"/>
        </w:rPr>
        <w:t xml:space="preserve"> слава героям </w:t>
      </w:r>
      <w:proofErr w:type="gramStart"/>
      <w:r w:rsidRPr="00B00314">
        <w:rPr>
          <w:rFonts w:ascii="Times New Roman" w:hAnsi="Times New Roman" w:cs="Times New Roman"/>
          <w:bCs/>
          <w:sz w:val="28"/>
          <w:szCs w:val="28"/>
        </w:rPr>
        <w:t>Крут</w:t>
      </w:r>
      <w:proofErr w:type="gramEnd"/>
      <w:r w:rsidRPr="00B00314">
        <w:rPr>
          <w:rFonts w:ascii="Times New Roman" w:hAnsi="Times New Roman" w:cs="Times New Roman"/>
          <w:bCs/>
          <w:sz w:val="28"/>
          <w:szCs w:val="28"/>
        </w:rPr>
        <w:t>!</w:t>
      </w:r>
    </w:p>
    <w:p w:rsidR="00426A23" w:rsidRPr="00B00314" w:rsidRDefault="00426A23" w:rsidP="00B003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6A23" w:rsidRPr="00B00314" w:rsidRDefault="00426A23">
      <w:pPr>
        <w:rPr>
          <w:rFonts w:ascii="Times New Roman" w:hAnsi="Times New Roman" w:cs="Times New Roman"/>
          <w:sz w:val="28"/>
          <w:szCs w:val="28"/>
        </w:rPr>
      </w:pPr>
    </w:p>
    <w:p w:rsidR="00426A23" w:rsidRPr="00D73556" w:rsidRDefault="00426A23"/>
    <w:sectPr w:rsidR="00426A23" w:rsidRPr="00D7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36AA"/>
    <w:multiLevelType w:val="hybridMultilevel"/>
    <w:tmpl w:val="CA40A364"/>
    <w:lvl w:ilvl="0" w:tplc="4AFC16AE">
      <w:start w:val="1"/>
      <w:numFmt w:val="bullet"/>
      <w:lvlText w:val="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260FE9"/>
    <w:multiLevelType w:val="multilevel"/>
    <w:tmpl w:val="0D38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77262"/>
    <w:multiLevelType w:val="hybridMultilevel"/>
    <w:tmpl w:val="332C7CE4"/>
    <w:lvl w:ilvl="0" w:tplc="C600A64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67F26">
      <w:start w:val="1"/>
      <w:numFmt w:val="bullet"/>
      <w:lvlText w:val="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14988E04">
      <w:start w:val="1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26"/>
    <w:rsid w:val="00016326"/>
    <w:rsid w:val="000715A1"/>
    <w:rsid w:val="000F1110"/>
    <w:rsid w:val="00102130"/>
    <w:rsid w:val="00426A23"/>
    <w:rsid w:val="0046341C"/>
    <w:rsid w:val="00A93752"/>
    <w:rsid w:val="00B00314"/>
    <w:rsid w:val="00D73556"/>
    <w:rsid w:val="00F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4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4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E%D0%BD%D0%BA%D0%B5%D1%80" TargetMode="External"/><Relationship Id="rId13" Type="http://schemas.openxmlformats.org/officeDocument/2006/relationships/hyperlink" Target="http://uk.wikipedia.org/wiki/%D0%9A%D0%B8%D1%97%D0%B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k.wikipedia.org/wiki/1918" TargetMode="External"/><Relationship Id="rId12" Type="http://schemas.openxmlformats.org/officeDocument/2006/relationships/hyperlink" Target="http://uk.wikipedia.org/wiki/%D0%9A%D1%96%D0%BB%D0%BE%D0%BC%D0%B5%D1%8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iki/28_%D1%81%D1%96%D1%87%D0%BD%D1%8F" TargetMode="External"/><Relationship Id="rId11" Type="http://schemas.openxmlformats.org/officeDocument/2006/relationships/hyperlink" Target="http://uk.wikipedia.org/wiki/%D0%9A%D1%80%D1%83%D1%82%D0%B8_%28%D0%9D%D1%96%D0%B6%D0%B8%D0%BD%D1%81%D1%8C%D0%BA%D0%B8%D0%B9_%D1%80%D0%B0%D0%B9%D0%BE%D0%BD%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k.wikipedia.org/wiki/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29_%D1%81%D1%96%D1%87%D0%BD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10</cp:revision>
  <cp:lastPrinted>2016-01-29T09:59:00Z</cp:lastPrinted>
  <dcterms:created xsi:type="dcterms:W3CDTF">2012-02-07T03:59:00Z</dcterms:created>
  <dcterms:modified xsi:type="dcterms:W3CDTF">2021-01-26T19:26:00Z</dcterms:modified>
</cp:coreProperties>
</file>