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A9F" w:rsidRDefault="00D35A9F" w:rsidP="00D35A9F">
      <w:pPr>
        <w:jc w:val="both"/>
        <w:rPr>
          <w:i/>
          <w:sz w:val="20"/>
          <w:szCs w:val="20"/>
          <w:lang w:val="en-US"/>
        </w:rPr>
      </w:pPr>
    </w:p>
    <w:p w:rsidR="00745D6C" w:rsidRPr="00745D6C" w:rsidRDefault="00745D6C" w:rsidP="00D35A9F">
      <w:pPr>
        <w:jc w:val="both"/>
        <w:rPr>
          <w:i/>
          <w:sz w:val="20"/>
          <w:szCs w:val="20"/>
          <w:lang w:val="en-US"/>
        </w:rPr>
      </w:pPr>
    </w:p>
    <w:p w:rsidR="00823BDB" w:rsidRPr="00823BDB" w:rsidRDefault="00823BDB" w:rsidP="00D35A9F">
      <w:pPr>
        <w:jc w:val="center"/>
        <w:rPr>
          <w:b/>
          <w:i/>
          <w:sz w:val="20"/>
          <w:szCs w:val="20"/>
        </w:rPr>
      </w:pPr>
      <w:r w:rsidRPr="00644F81">
        <w:rPr>
          <w:b/>
          <w:color w:val="000000"/>
          <w:lang w:val="uk-UA"/>
        </w:rPr>
        <w:t>КОМУНАЛЬНИЙ ЗАКЛАД "ЯБЛУНІВСЬКИЙ ЛІЦЕЙ" ЧЕРНІГІВСЬКОЇ ОБЛАСНОЇ РАДИ</w:t>
      </w:r>
    </w:p>
    <w:p w:rsidR="00823BDB" w:rsidRPr="00627030" w:rsidRDefault="00823BDB" w:rsidP="00D35A9F">
      <w:pPr>
        <w:jc w:val="center"/>
        <w:rPr>
          <w:b/>
          <w:i/>
          <w:sz w:val="20"/>
          <w:szCs w:val="20"/>
        </w:rPr>
      </w:pPr>
    </w:p>
    <w:p w:rsidR="00D35A9F" w:rsidRPr="00311100" w:rsidRDefault="00D35A9F" w:rsidP="00D35A9F">
      <w:pPr>
        <w:jc w:val="center"/>
        <w:rPr>
          <w:b/>
          <w:i/>
          <w:lang w:val="uk-UA"/>
        </w:rPr>
      </w:pPr>
      <w:r w:rsidRPr="00311100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35A9F" w:rsidRPr="00627030" w:rsidRDefault="00D35A9F" w:rsidP="00D35A9F">
      <w:pPr>
        <w:jc w:val="center"/>
        <w:rPr>
          <w:i/>
        </w:rPr>
      </w:pPr>
      <w:r w:rsidRPr="00311100">
        <w:rPr>
          <w:i/>
          <w:lang w:val="uk-UA"/>
        </w:rPr>
        <w:t>(відповідно до пункту 4</w:t>
      </w:r>
      <w:r w:rsidRPr="00311100">
        <w:rPr>
          <w:i/>
          <w:vertAlign w:val="superscript"/>
          <w:lang w:val="uk-UA"/>
        </w:rPr>
        <w:t xml:space="preserve">1 </w:t>
      </w:r>
      <w:r w:rsidRPr="00311100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:rsidR="005718E8" w:rsidRDefault="00745D6C" w:rsidP="005718E8">
      <w:pPr>
        <w:pStyle w:val="rvps2"/>
        <w:shd w:val="clear" w:color="auto" w:fill="FFFFFF"/>
        <w:jc w:val="both"/>
        <w:rPr>
          <w:b/>
          <w:color w:val="000000"/>
          <w:lang w:val="uk-UA"/>
        </w:rPr>
      </w:pPr>
      <w:r w:rsidRPr="00BC1E71">
        <w:rPr>
          <w:b/>
          <w:lang w:val="uk-UA"/>
        </w:rPr>
        <w:t>1. Назва предмета закупівлі</w:t>
      </w:r>
      <w:r w:rsidR="005718E8" w:rsidRPr="005718E8">
        <w:rPr>
          <w:b/>
          <w:color w:val="000000"/>
          <w:lang w:val="uk-UA"/>
        </w:rPr>
        <w:t xml:space="preserve"> </w:t>
      </w:r>
    </w:p>
    <w:p w:rsidR="005610AB" w:rsidRPr="00627030" w:rsidRDefault="005610AB" w:rsidP="005718E8">
      <w:pPr>
        <w:pStyle w:val="rvps2"/>
        <w:shd w:val="clear" w:color="auto" w:fill="FFFFFF"/>
        <w:jc w:val="both"/>
        <w:rPr>
          <w:b/>
          <w:color w:val="000000"/>
        </w:rPr>
      </w:pPr>
      <w:proofErr w:type="spellStart"/>
      <w:r w:rsidRPr="00BC5086">
        <w:rPr>
          <w:b/>
        </w:rPr>
        <w:t>Вугілля</w:t>
      </w:r>
      <w:proofErr w:type="spellEnd"/>
      <w:r w:rsidRPr="00BC5086">
        <w:rPr>
          <w:b/>
        </w:rPr>
        <w:t xml:space="preserve"> </w:t>
      </w:r>
      <w:proofErr w:type="spellStart"/>
      <w:r w:rsidRPr="00BC5086">
        <w:rPr>
          <w:b/>
        </w:rPr>
        <w:t>кам’яне</w:t>
      </w:r>
      <w:proofErr w:type="spellEnd"/>
      <w:r>
        <w:rPr>
          <w:b/>
          <w:lang w:val="uk-UA"/>
        </w:rPr>
        <w:t xml:space="preserve"> </w:t>
      </w:r>
      <w:r w:rsidRPr="00BC5086">
        <w:rPr>
          <w:b/>
        </w:rPr>
        <w:t xml:space="preserve">(код за ЄЗС ДК 021:2015:  09110000-3 </w:t>
      </w:r>
      <w:proofErr w:type="spellStart"/>
      <w:r w:rsidRPr="00BC5086">
        <w:rPr>
          <w:b/>
        </w:rPr>
        <w:t>Тверде</w:t>
      </w:r>
      <w:proofErr w:type="spellEnd"/>
      <w:r w:rsidRPr="00BC5086">
        <w:rPr>
          <w:b/>
        </w:rPr>
        <w:t xml:space="preserve"> </w:t>
      </w:r>
      <w:proofErr w:type="spellStart"/>
      <w:r w:rsidRPr="00BC5086">
        <w:rPr>
          <w:b/>
        </w:rPr>
        <w:t>паливо</w:t>
      </w:r>
      <w:proofErr w:type="spellEnd"/>
      <w:r w:rsidRPr="00BC5086">
        <w:rPr>
          <w:b/>
        </w:rPr>
        <w:t>)</w:t>
      </w:r>
    </w:p>
    <w:p w:rsidR="00745D6C" w:rsidRPr="00BC1E71" w:rsidRDefault="00745D6C" w:rsidP="00745D6C">
      <w:pPr>
        <w:pStyle w:val="a3"/>
        <w:spacing w:after="60"/>
        <w:ind w:left="0"/>
        <w:rPr>
          <w:lang w:val="uk-UA"/>
        </w:rPr>
      </w:pPr>
      <w:r w:rsidRPr="00BC1E71">
        <w:rPr>
          <w:lang w:val="uk-UA"/>
        </w:rPr>
        <w:t xml:space="preserve">2. </w:t>
      </w:r>
      <w:r w:rsidRPr="00BC1E71">
        <w:rPr>
          <w:b/>
          <w:lang w:val="uk-UA"/>
        </w:rPr>
        <w:t>Обґрунтування технічних та якісних характеристик предмета закупівлі</w:t>
      </w:r>
      <w:r w:rsidRPr="00BC1E71">
        <w:rPr>
          <w:lang w:val="uk-UA"/>
        </w:rPr>
        <w:t xml:space="preserve"> </w:t>
      </w:r>
    </w:p>
    <w:p w:rsidR="005718E8" w:rsidRPr="00603832" w:rsidRDefault="00745D6C" w:rsidP="00603832">
      <w:pPr>
        <w:shd w:val="clear" w:color="auto" w:fill="FFFFFF"/>
        <w:spacing w:after="150"/>
        <w:jc w:val="both"/>
        <w:rPr>
          <w:rFonts w:eastAsia="SimSun" w:cs="SimSun"/>
          <w:b/>
          <w:lang w:val="uk-UA" w:eastAsia="en-US"/>
        </w:rPr>
      </w:pPr>
      <w:proofErr w:type="spellStart"/>
      <w:r w:rsidRPr="00BC1E71">
        <w:t>Термін</w:t>
      </w:r>
      <w:proofErr w:type="spellEnd"/>
      <w:r w:rsidRPr="00BC1E71">
        <w:t xml:space="preserve"> </w:t>
      </w:r>
      <w:proofErr w:type="spellStart"/>
      <w:r w:rsidRPr="00BC1E71">
        <w:t>постачання</w:t>
      </w:r>
      <w:proofErr w:type="spellEnd"/>
      <w:r w:rsidRPr="00BC1E71">
        <w:t xml:space="preserve"> — з </w:t>
      </w:r>
      <w:proofErr w:type="spellStart"/>
      <w:r w:rsidRPr="00BC1E71">
        <w:t>дати</w:t>
      </w:r>
      <w:proofErr w:type="spellEnd"/>
      <w:r w:rsidRPr="00BC1E71">
        <w:t xml:space="preserve"> </w:t>
      </w:r>
      <w:proofErr w:type="spellStart"/>
      <w:r w:rsidRPr="00BC1E71">
        <w:t>укладання</w:t>
      </w:r>
      <w:proofErr w:type="spellEnd"/>
      <w:r w:rsidRPr="00BC1E71">
        <w:t xml:space="preserve"> договору </w:t>
      </w:r>
      <w:r w:rsidRPr="00603832">
        <w:rPr>
          <w:lang w:val="uk-UA"/>
        </w:rPr>
        <w:t>д</w:t>
      </w:r>
      <w:r w:rsidRPr="00603832">
        <w:t xml:space="preserve">о </w:t>
      </w:r>
      <w:proofErr w:type="gramStart"/>
      <w:r w:rsidR="002B1F7D">
        <w:rPr>
          <w:b/>
          <w:lang w:val="uk-UA"/>
        </w:rPr>
        <w:t>10</w:t>
      </w:r>
      <w:r w:rsidR="00554764" w:rsidRPr="0091742C">
        <w:rPr>
          <w:b/>
          <w:lang w:val="uk-UA"/>
        </w:rPr>
        <w:t>.0</w:t>
      </w:r>
      <w:r w:rsidR="002B1F7D">
        <w:rPr>
          <w:b/>
          <w:lang w:val="uk-UA"/>
        </w:rPr>
        <w:t>7</w:t>
      </w:r>
      <w:r w:rsidR="00554764" w:rsidRPr="0091742C">
        <w:rPr>
          <w:b/>
          <w:lang w:val="uk-UA"/>
        </w:rPr>
        <w:t>.2024  року</w:t>
      </w:r>
      <w:proofErr w:type="gramEnd"/>
      <w:r w:rsidR="00554764" w:rsidRPr="0091742C">
        <w:rPr>
          <w:b/>
          <w:lang w:val="uk-UA"/>
        </w:rPr>
        <w:t xml:space="preserve"> </w:t>
      </w:r>
      <w:r w:rsidR="00554764" w:rsidRPr="0091742C">
        <w:rPr>
          <w:rFonts w:eastAsia="SimSun" w:cs="SimSun"/>
          <w:b/>
          <w:lang w:val="uk-UA"/>
        </w:rPr>
        <w:t>включно</w:t>
      </w:r>
      <w:r w:rsidR="00603832">
        <w:rPr>
          <w:rFonts w:eastAsia="SimSun" w:cs="SimSun"/>
          <w:b/>
          <w:lang w:val="uk-UA" w:eastAsia="en-US"/>
        </w:rPr>
        <w:t>.</w:t>
      </w:r>
    </w:p>
    <w:p w:rsidR="005718E8" w:rsidRDefault="005718E8" w:rsidP="00987A51">
      <w:pPr>
        <w:spacing w:after="60"/>
        <w:jc w:val="both"/>
        <w:rPr>
          <w:lang w:val="uk-UA"/>
        </w:rPr>
      </w:pPr>
      <w:r w:rsidRPr="005718E8">
        <w:rPr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</w:t>
      </w:r>
    </w:p>
    <w:p w:rsidR="00A719A3" w:rsidRPr="00383A88" w:rsidRDefault="00A719A3" w:rsidP="00A719A3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383A88">
        <w:rPr>
          <w:rFonts w:ascii="Times New Roman" w:hAnsi="Times New Roman"/>
          <w:b/>
          <w:bCs/>
          <w:sz w:val="24"/>
          <w:szCs w:val="24"/>
          <w:highlight w:val="white"/>
        </w:rPr>
        <w:t>ТЕХНІЧНА СПЕЦИФІКАЦІЯ</w:t>
      </w:r>
    </w:p>
    <w:p w:rsidR="00A719A3" w:rsidRDefault="00A719A3" w:rsidP="00A719A3">
      <w:pPr>
        <w:jc w:val="center"/>
        <w:rPr>
          <w:i/>
        </w:rPr>
      </w:pPr>
      <w:proofErr w:type="spellStart"/>
      <w:r w:rsidRPr="00315187">
        <w:rPr>
          <w:i/>
        </w:rPr>
        <w:t>Вугілля</w:t>
      </w:r>
      <w:proofErr w:type="spellEnd"/>
      <w:r w:rsidRPr="00315187">
        <w:rPr>
          <w:i/>
        </w:rPr>
        <w:t xml:space="preserve"> </w:t>
      </w:r>
      <w:proofErr w:type="spellStart"/>
      <w:r w:rsidRPr="00315187">
        <w:rPr>
          <w:i/>
        </w:rPr>
        <w:t>кам’яне</w:t>
      </w:r>
      <w:proofErr w:type="spellEnd"/>
      <w:r w:rsidRPr="00315187">
        <w:rPr>
          <w:i/>
        </w:rPr>
        <w:t xml:space="preserve"> (код за ЄЗС ДК 021:2015:  09110000-3 </w:t>
      </w:r>
      <w:proofErr w:type="spellStart"/>
      <w:r w:rsidRPr="00315187">
        <w:rPr>
          <w:i/>
        </w:rPr>
        <w:t>Тверде</w:t>
      </w:r>
      <w:proofErr w:type="spellEnd"/>
      <w:r w:rsidRPr="00315187">
        <w:rPr>
          <w:i/>
        </w:rPr>
        <w:t xml:space="preserve"> </w:t>
      </w:r>
      <w:proofErr w:type="spellStart"/>
      <w:r w:rsidRPr="00315187">
        <w:rPr>
          <w:i/>
        </w:rPr>
        <w:t>паливо</w:t>
      </w:r>
      <w:proofErr w:type="spellEnd"/>
      <w:r w:rsidRPr="00315187">
        <w:rPr>
          <w:i/>
        </w:rPr>
        <w:t>)</w:t>
      </w:r>
    </w:p>
    <w:p w:rsidR="00A719A3" w:rsidRDefault="00A719A3" w:rsidP="00A719A3">
      <w:pPr>
        <w:rPr>
          <w:i/>
          <w:highlight w:val="white"/>
        </w:rPr>
      </w:pPr>
    </w:p>
    <w:tbl>
      <w:tblPr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76"/>
        <w:gridCol w:w="1418"/>
        <w:gridCol w:w="1449"/>
        <w:gridCol w:w="535"/>
        <w:gridCol w:w="992"/>
        <w:gridCol w:w="4253"/>
      </w:tblGrid>
      <w:tr w:rsidR="00A719A3" w:rsidRPr="00383A88" w:rsidTr="00B3727A">
        <w:tc>
          <w:tcPr>
            <w:tcW w:w="42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widowControl w:val="0"/>
              <w:rPr>
                <w:sz w:val="23"/>
                <w:szCs w:val="23"/>
                <w:highlight w:val="white"/>
              </w:rPr>
            </w:pPr>
            <w:proofErr w:type="spellStart"/>
            <w:r w:rsidRPr="00383A88">
              <w:rPr>
                <w:sz w:val="23"/>
                <w:szCs w:val="23"/>
                <w:highlight w:val="white"/>
              </w:rPr>
              <w:t>Назва</w:t>
            </w:r>
            <w:proofErr w:type="spellEnd"/>
            <w:r w:rsidRPr="00383A88">
              <w:rPr>
                <w:sz w:val="23"/>
                <w:szCs w:val="23"/>
                <w:highlight w:val="white"/>
              </w:rPr>
              <w:t xml:space="preserve"> предмета </w:t>
            </w:r>
            <w:proofErr w:type="spellStart"/>
            <w:r w:rsidRPr="00383A88">
              <w:rPr>
                <w:sz w:val="23"/>
                <w:szCs w:val="23"/>
                <w:highlight w:val="white"/>
              </w:rPr>
              <w:t>закупівлі</w:t>
            </w:r>
            <w:proofErr w:type="spellEnd"/>
          </w:p>
        </w:tc>
        <w:tc>
          <w:tcPr>
            <w:tcW w:w="57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widowControl w:val="0"/>
              <w:rPr>
                <w:i/>
                <w:sz w:val="23"/>
                <w:szCs w:val="23"/>
                <w:highlight w:val="white"/>
              </w:rPr>
            </w:pPr>
            <w:proofErr w:type="spellStart"/>
            <w:r w:rsidRPr="00383A88">
              <w:rPr>
                <w:i/>
                <w:sz w:val="23"/>
                <w:szCs w:val="23"/>
              </w:rPr>
              <w:t>Вугілля</w:t>
            </w:r>
            <w:proofErr w:type="spellEnd"/>
            <w:r w:rsidRPr="00383A88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i/>
                <w:sz w:val="23"/>
                <w:szCs w:val="23"/>
              </w:rPr>
              <w:t>кам’яне</w:t>
            </w:r>
            <w:proofErr w:type="spellEnd"/>
            <w:r w:rsidRPr="00383A88">
              <w:rPr>
                <w:i/>
                <w:sz w:val="23"/>
                <w:szCs w:val="23"/>
              </w:rPr>
              <w:t xml:space="preserve"> (код за ЄЗС ДК 021:2015:  09110000-3 </w:t>
            </w:r>
            <w:proofErr w:type="spellStart"/>
            <w:r w:rsidRPr="00383A88">
              <w:rPr>
                <w:i/>
                <w:sz w:val="23"/>
                <w:szCs w:val="23"/>
              </w:rPr>
              <w:t>Тверде</w:t>
            </w:r>
            <w:proofErr w:type="spellEnd"/>
            <w:r w:rsidRPr="00383A88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i/>
                <w:sz w:val="23"/>
                <w:szCs w:val="23"/>
              </w:rPr>
              <w:t>паливо</w:t>
            </w:r>
            <w:proofErr w:type="spellEnd"/>
            <w:r w:rsidRPr="00383A88">
              <w:rPr>
                <w:i/>
                <w:sz w:val="23"/>
                <w:szCs w:val="23"/>
              </w:rPr>
              <w:t>)</w:t>
            </w:r>
          </w:p>
        </w:tc>
      </w:tr>
      <w:tr w:rsidR="00A719A3" w:rsidRPr="00383A88" w:rsidTr="00B3727A">
        <w:tc>
          <w:tcPr>
            <w:tcW w:w="42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widowControl w:val="0"/>
              <w:rPr>
                <w:sz w:val="23"/>
                <w:szCs w:val="23"/>
                <w:highlight w:val="white"/>
              </w:rPr>
            </w:pPr>
            <w:r w:rsidRPr="00383A88">
              <w:rPr>
                <w:sz w:val="23"/>
                <w:szCs w:val="23"/>
                <w:highlight w:val="white"/>
              </w:rPr>
              <w:t>Код ДК 021:2015</w:t>
            </w:r>
          </w:p>
        </w:tc>
        <w:tc>
          <w:tcPr>
            <w:tcW w:w="57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widowControl w:val="0"/>
              <w:rPr>
                <w:i/>
                <w:sz w:val="23"/>
                <w:szCs w:val="23"/>
                <w:highlight w:val="white"/>
              </w:rPr>
            </w:pPr>
            <w:r w:rsidRPr="00383A88">
              <w:rPr>
                <w:i/>
                <w:sz w:val="23"/>
                <w:szCs w:val="23"/>
              </w:rPr>
              <w:t xml:space="preserve">  09110000-3 </w:t>
            </w:r>
            <w:proofErr w:type="spellStart"/>
            <w:r w:rsidRPr="00383A88">
              <w:rPr>
                <w:i/>
                <w:sz w:val="23"/>
                <w:szCs w:val="23"/>
              </w:rPr>
              <w:t>Тверде</w:t>
            </w:r>
            <w:proofErr w:type="spellEnd"/>
            <w:r w:rsidRPr="00383A88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i/>
                <w:sz w:val="23"/>
                <w:szCs w:val="23"/>
              </w:rPr>
              <w:t>паливо</w:t>
            </w:r>
            <w:proofErr w:type="spellEnd"/>
          </w:p>
        </w:tc>
      </w:tr>
      <w:tr w:rsidR="00A719A3" w:rsidRPr="00383A88" w:rsidTr="00B3727A">
        <w:tc>
          <w:tcPr>
            <w:tcW w:w="42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widowControl w:val="0"/>
              <w:rPr>
                <w:sz w:val="23"/>
                <w:szCs w:val="23"/>
                <w:highlight w:val="white"/>
              </w:rPr>
            </w:pPr>
            <w:proofErr w:type="spellStart"/>
            <w:r w:rsidRPr="00383A88">
              <w:rPr>
                <w:sz w:val="23"/>
                <w:szCs w:val="23"/>
              </w:rPr>
              <w:t>Назва</w:t>
            </w:r>
            <w:proofErr w:type="spellEnd"/>
            <w:r w:rsidRPr="00383A88">
              <w:rPr>
                <w:sz w:val="23"/>
                <w:szCs w:val="23"/>
              </w:rPr>
              <w:t xml:space="preserve"> товару </w:t>
            </w:r>
            <w:proofErr w:type="spellStart"/>
            <w:r w:rsidRPr="00383A88">
              <w:rPr>
                <w:sz w:val="23"/>
                <w:szCs w:val="23"/>
              </w:rPr>
              <w:t>номенклатурної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sz w:val="23"/>
                <w:szCs w:val="23"/>
              </w:rPr>
              <w:t>позиції</w:t>
            </w:r>
            <w:proofErr w:type="spellEnd"/>
            <w:r w:rsidRPr="00383A88">
              <w:rPr>
                <w:sz w:val="23"/>
                <w:szCs w:val="23"/>
              </w:rPr>
              <w:t xml:space="preserve"> предмета </w:t>
            </w:r>
            <w:proofErr w:type="spellStart"/>
            <w:r w:rsidRPr="00383A88">
              <w:rPr>
                <w:sz w:val="23"/>
                <w:szCs w:val="23"/>
              </w:rPr>
              <w:t>закупівлі</w:t>
            </w:r>
            <w:proofErr w:type="spellEnd"/>
            <w:r w:rsidRPr="00383A88">
              <w:rPr>
                <w:sz w:val="23"/>
                <w:szCs w:val="23"/>
              </w:rPr>
              <w:t xml:space="preserve"> та код товару, </w:t>
            </w:r>
            <w:proofErr w:type="spellStart"/>
            <w:r w:rsidRPr="00383A88">
              <w:rPr>
                <w:sz w:val="23"/>
                <w:szCs w:val="23"/>
              </w:rPr>
              <w:t>визначеного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sz w:val="23"/>
                <w:szCs w:val="23"/>
              </w:rPr>
              <w:t>згідно</w:t>
            </w:r>
            <w:proofErr w:type="spellEnd"/>
            <w:r w:rsidRPr="00383A88">
              <w:rPr>
                <w:sz w:val="23"/>
                <w:szCs w:val="23"/>
              </w:rPr>
              <w:t xml:space="preserve"> з </w:t>
            </w:r>
            <w:proofErr w:type="spellStart"/>
            <w:r w:rsidRPr="00383A88">
              <w:rPr>
                <w:sz w:val="23"/>
                <w:szCs w:val="23"/>
              </w:rPr>
              <w:t>Єдиним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sz w:val="23"/>
                <w:szCs w:val="23"/>
              </w:rPr>
              <w:t>закупівельним</w:t>
            </w:r>
            <w:proofErr w:type="spellEnd"/>
            <w:r w:rsidRPr="00383A88">
              <w:rPr>
                <w:sz w:val="23"/>
                <w:szCs w:val="23"/>
              </w:rPr>
              <w:t xml:space="preserve"> словником, </w:t>
            </w:r>
            <w:proofErr w:type="spellStart"/>
            <w:r w:rsidRPr="00383A88">
              <w:rPr>
                <w:sz w:val="23"/>
                <w:szCs w:val="23"/>
              </w:rPr>
              <w:t>що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sz w:val="23"/>
                <w:szCs w:val="23"/>
              </w:rPr>
              <w:t>найбільше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sz w:val="23"/>
                <w:szCs w:val="23"/>
              </w:rPr>
              <w:t>відповідає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sz w:val="23"/>
                <w:szCs w:val="23"/>
              </w:rPr>
              <w:t>назві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sz w:val="23"/>
                <w:szCs w:val="23"/>
              </w:rPr>
              <w:t>номенклатурної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sz w:val="23"/>
                <w:szCs w:val="23"/>
              </w:rPr>
              <w:t>позиції</w:t>
            </w:r>
            <w:proofErr w:type="spellEnd"/>
            <w:r w:rsidRPr="00383A88">
              <w:rPr>
                <w:sz w:val="23"/>
                <w:szCs w:val="23"/>
              </w:rPr>
              <w:t xml:space="preserve"> предмета </w:t>
            </w:r>
            <w:proofErr w:type="spellStart"/>
            <w:r w:rsidRPr="00383A88">
              <w:rPr>
                <w:sz w:val="23"/>
                <w:szCs w:val="23"/>
              </w:rPr>
              <w:t>закупівлі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</w:p>
        </w:tc>
        <w:tc>
          <w:tcPr>
            <w:tcW w:w="57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jc w:val="both"/>
              <w:rPr>
                <w:b/>
                <w:sz w:val="23"/>
                <w:szCs w:val="23"/>
              </w:rPr>
            </w:pPr>
            <w:r w:rsidRPr="00383A88">
              <w:rPr>
                <w:b/>
                <w:sz w:val="23"/>
                <w:szCs w:val="23"/>
              </w:rPr>
              <w:t xml:space="preserve">09111100-1 </w:t>
            </w:r>
            <w:proofErr w:type="spellStart"/>
            <w:r w:rsidRPr="00383A88">
              <w:rPr>
                <w:b/>
                <w:sz w:val="23"/>
                <w:szCs w:val="23"/>
              </w:rPr>
              <w:t>Вугілля</w:t>
            </w:r>
            <w:proofErr w:type="spellEnd"/>
          </w:p>
          <w:p w:rsidR="00A719A3" w:rsidRPr="00383A88" w:rsidRDefault="00A719A3" w:rsidP="00B3727A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A719A3" w:rsidRPr="00383A88" w:rsidTr="00B3727A">
        <w:tc>
          <w:tcPr>
            <w:tcW w:w="42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widowControl w:val="0"/>
              <w:rPr>
                <w:sz w:val="23"/>
                <w:szCs w:val="23"/>
                <w:highlight w:val="white"/>
              </w:rPr>
            </w:pPr>
            <w:proofErr w:type="spellStart"/>
            <w:r w:rsidRPr="00383A88">
              <w:rPr>
                <w:sz w:val="23"/>
                <w:szCs w:val="23"/>
                <w:highlight w:val="white"/>
              </w:rPr>
              <w:t>Кількість</w:t>
            </w:r>
            <w:proofErr w:type="spellEnd"/>
            <w:r w:rsidRPr="00383A88">
              <w:rPr>
                <w:sz w:val="23"/>
                <w:szCs w:val="23"/>
                <w:highlight w:val="white"/>
              </w:rPr>
              <w:t xml:space="preserve"> поставки товару</w:t>
            </w:r>
          </w:p>
        </w:tc>
        <w:tc>
          <w:tcPr>
            <w:tcW w:w="57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2B1F7D" w:rsidP="00B3727A">
            <w:pPr>
              <w:jc w:val="both"/>
              <w:rPr>
                <w:b/>
                <w:bCs/>
                <w:sz w:val="23"/>
                <w:szCs w:val="23"/>
                <w:lang w:eastAsia="uk-UA"/>
              </w:rPr>
            </w:pPr>
            <w:r>
              <w:rPr>
                <w:b/>
                <w:bCs/>
                <w:sz w:val="23"/>
                <w:szCs w:val="23"/>
                <w:lang w:val="uk-UA" w:eastAsia="zh-CN"/>
              </w:rPr>
              <w:t>100</w:t>
            </w:r>
            <w:r w:rsidR="00A719A3" w:rsidRPr="00383A88">
              <w:rPr>
                <w:sz w:val="23"/>
                <w:szCs w:val="23"/>
              </w:rPr>
              <w:t xml:space="preserve"> </w:t>
            </w:r>
            <w:r w:rsidR="00A719A3" w:rsidRPr="00383A88">
              <w:rPr>
                <w:b/>
                <w:bCs/>
                <w:sz w:val="23"/>
                <w:szCs w:val="23"/>
                <w:lang w:eastAsia="zh-CN"/>
              </w:rPr>
              <w:t>тонн</w:t>
            </w:r>
          </w:p>
        </w:tc>
      </w:tr>
      <w:tr w:rsidR="00A719A3" w:rsidRPr="00383A88" w:rsidTr="00B3727A">
        <w:tc>
          <w:tcPr>
            <w:tcW w:w="42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widowControl w:val="0"/>
              <w:rPr>
                <w:sz w:val="23"/>
                <w:szCs w:val="23"/>
                <w:highlight w:val="white"/>
              </w:rPr>
            </w:pPr>
            <w:proofErr w:type="spellStart"/>
            <w:r w:rsidRPr="00383A88">
              <w:rPr>
                <w:sz w:val="23"/>
                <w:szCs w:val="23"/>
                <w:highlight w:val="white"/>
              </w:rPr>
              <w:t>Місце</w:t>
            </w:r>
            <w:proofErr w:type="spellEnd"/>
            <w:r w:rsidRPr="00383A88">
              <w:rPr>
                <w:sz w:val="23"/>
                <w:szCs w:val="23"/>
                <w:highlight w:val="white"/>
              </w:rPr>
              <w:t xml:space="preserve"> поставки товару</w:t>
            </w:r>
          </w:p>
        </w:tc>
        <w:tc>
          <w:tcPr>
            <w:tcW w:w="57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jc w:val="both"/>
              <w:rPr>
                <w:b/>
                <w:sz w:val="23"/>
                <w:szCs w:val="23"/>
              </w:rPr>
            </w:pPr>
            <w:r w:rsidRPr="00383A88">
              <w:rPr>
                <w:b/>
                <w:sz w:val="23"/>
                <w:szCs w:val="23"/>
              </w:rPr>
              <w:t xml:space="preserve">17591, </w:t>
            </w:r>
            <w:proofErr w:type="spellStart"/>
            <w:r w:rsidRPr="00383A88">
              <w:rPr>
                <w:b/>
                <w:sz w:val="23"/>
                <w:szCs w:val="23"/>
              </w:rPr>
              <w:t>Чернігівська</w:t>
            </w:r>
            <w:proofErr w:type="spellEnd"/>
            <w:r w:rsidRPr="00383A88">
              <w:rPr>
                <w:b/>
                <w:sz w:val="23"/>
                <w:szCs w:val="23"/>
              </w:rPr>
              <w:t xml:space="preserve"> обл., </w:t>
            </w:r>
            <w:proofErr w:type="spellStart"/>
            <w:r w:rsidRPr="00383A88">
              <w:rPr>
                <w:b/>
                <w:sz w:val="23"/>
                <w:szCs w:val="23"/>
              </w:rPr>
              <w:t>Прилуцький</w:t>
            </w:r>
            <w:proofErr w:type="spellEnd"/>
            <w:r w:rsidRPr="00383A88">
              <w:rPr>
                <w:b/>
                <w:sz w:val="23"/>
                <w:szCs w:val="23"/>
              </w:rPr>
              <w:t xml:space="preserve"> район, село </w:t>
            </w:r>
            <w:proofErr w:type="spellStart"/>
            <w:r w:rsidRPr="00383A88">
              <w:rPr>
                <w:b/>
                <w:sz w:val="23"/>
                <w:szCs w:val="23"/>
              </w:rPr>
              <w:t>Яблунівка</w:t>
            </w:r>
            <w:proofErr w:type="spellEnd"/>
            <w:r w:rsidRPr="00383A88">
              <w:rPr>
                <w:b/>
                <w:sz w:val="23"/>
                <w:szCs w:val="23"/>
              </w:rPr>
              <w:t xml:space="preserve">, ВУЛИЦЯ ЯБЛУНЕВА, </w:t>
            </w:r>
            <w:proofErr w:type="spellStart"/>
            <w:r w:rsidRPr="00383A88">
              <w:rPr>
                <w:b/>
                <w:sz w:val="23"/>
                <w:szCs w:val="23"/>
              </w:rPr>
              <w:t>будинок</w:t>
            </w:r>
            <w:proofErr w:type="spellEnd"/>
            <w:r w:rsidRPr="00383A88">
              <w:rPr>
                <w:b/>
                <w:sz w:val="23"/>
                <w:szCs w:val="23"/>
              </w:rPr>
              <w:t xml:space="preserve"> 17</w:t>
            </w:r>
          </w:p>
        </w:tc>
      </w:tr>
      <w:tr w:rsidR="00A719A3" w:rsidRPr="00383A88" w:rsidTr="00B3727A">
        <w:tc>
          <w:tcPr>
            <w:tcW w:w="42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widowControl w:val="0"/>
              <w:rPr>
                <w:sz w:val="23"/>
                <w:szCs w:val="23"/>
                <w:highlight w:val="white"/>
              </w:rPr>
            </w:pPr>
            <w:r w:rsidRPr="00383A88">
              <w:rPr>
                <w:sz w:val="23"/>
                <w:szCs w:val="23"/>
                <w:highlight w:val="white"/>
              </w:rPr>
              <w:t>Строк поставки товару</w:t>
            </w:r>
          </w:p>
        </w:tc>
        <w:tc>
          <w:tcPr>
            <w:tcW w:w="57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widowControl w:val="0"/>
              <w:rPr>
                <w:b/>
                <w:sz w:val="23"/>
                <w:szCs w:val="23"/>
                <w:highlight w:val="white"/>
              </w:rPr>
            </w:pPr>
            <w:proofErr w:type="gramStart"/>
            <w:r w:rsidRPr="00383A88">
              <w:rPr>
                <w:b/>
                <w:sz w:val="23"/>
                <w:szCs w:val="23"/>
              </w:rPr>
              <w:t xml:space="preserve">до  </w:t>
            </w:r>
            <w:r w:rsidR="002B1F7D">
              <w:rPr>
                <w:b/>
                <w:sz w:val="23"/>
                <w:szCs w:val="23"/>
                <w:lang w:val="uk-UA"/>
              </w:rPr>
              <w:t>10</w:t>
            </w:r>
            <w:r w:rsidRPr="00383A88">
              <w:rPr>
                <w:b/>
                <w:sz w:val="23"/>
                <w:szCs w:val="23"/>
              </w:rPr>
              <w:t>.0</w:t>
            </w:r>
            <w:r w:rsidR="002B1F7D">
              <w:rPr>
                <w:b/>
                <w:sz w:val="23"/>
                <w:szCs w:val="23"/>
                <w:lang w:val="uk-UA"/>
              </w:rPr>
              <w:t>7</w:t>
            </w:r>
            <w:r w:rsidRPr="00383A88">
              <w:rPr>
                <w:b/>
                <w:sz w:val="23"/>
                <w:szCs w:val="23"/>
              </w:rPr>
              <w:t>.2024</w:t>
            </w:r>
            <w:proofErr w:type="gramEnd"/>
            <w:r w:rsidRPr="00383A88">
              <w:rPr>
                <w:b/>
                <w:sz w:val="23"/>
                <w:szCs w:val="23"/>
              </w:rPr>
              <w:t xml:space="preserve">  року </w:t>
            </w:r>
            <w:proofErr w:type="spellStart"/>
            <w:r w:rsidRPr="00383A88">
              <w:rPr>
                <w:b/>
                <w:sz w:val="23"/>
                <w:szCs w:val="23"/>
              </w:rPr>
              <w:t>включно</w:t>
            </w:r>
            <w:proofErr w:type="spellEnd"/>
          </w:p>
        </w:tc>
      </w:tr>
      <w:tr w:rsidR="00A719A3" w:rsidRPr="00383A88" w:rsidTr="00B3727A">
        <w:tc>
          <w:tcPr>
            <w:tcW w:w="42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widowControl w:val="0"/>
              <w:rPr>
                <w:sz w:val="23"/>
                <w:szCs w:val="23"/>
                <w:highlight w:val="white"/>
              </w:rPr>
            </w:pPr>
            <w:r w:rsidRPr="00383A88">
              <w:rPr>
                <w:sz w:val="23"/>
                <w:szCs w:val="23"/>
                <w:lang w:eastAsia="en-US"/>
              </w:rPr>
              <w:t>Доставка товару</w:t>
            </w:r>
          </w:p>
        </w:tc>
        <w:tc>
          <w:tcPr>
            <w:tcW w:w="57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9A3" w:rsidRPr="00383A88" w:rsidRDefault="00A719A3" w:rsidP="00B3727A">
            <w:pPr>
              <w:pStyle w:val="1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Доставка товару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здійснюється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Pr="00383A88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в </w:t>
            </w:r>
            <w:proofErr w:type="spellStart"/>
            <w:r w:rsidRPr="00383A88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робочі</w:t>
            </w:r>
            <w:proofErr w:type="spellEnd"/>
            <w:r w:rsidRPr="00383A88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дні</w:t>
            </w:r>
            <w:proofErr w:type="spellEnd"/>
            <w:r w:rsidRPr="00383A88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з 8-30 до 17-30 </w:t>
            </w:r>
            <w:proofErr w:type="spellStart"/>
            <w:r w:rsidRPr="00383A88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години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Постачальником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або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за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його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договорами,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визначеними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Постачальником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перевізниками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(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відправниками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), автотранспортом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вантажопідйомністю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не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більше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30 тонн </w:t>
            </w:r>
            <w:proofErr w:type="gram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до складу</w:t>
            </w:r>
            <w:proofErr w:type="gram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Замовника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. Доставка Товару до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місця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постачання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здійснюється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Постачальником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повністю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за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його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рахунок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(з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врахуванням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маркування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товару,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вартості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тари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вантажних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робіт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).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Всі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зобов’язання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по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укладанню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транспортних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договорів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з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перевізниками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(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відправниками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), по найму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транспортних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засобів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тощо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покладено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>виключно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на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Постачальника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. </w:t>
            </w:r>
          </w:p>
        </w:tc>
      </w:tr>
      <w:tr w:rsidR="00A719A3" w:rsidRPr="00383A88" w:rsidTr="00B3727A">
        <w:tc>
          <w:tcPr>
            <w:tcW w:w="13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r w:rsidRPr="00383A88">
              <w:rPr>
                <w:sz w:val="23"/>
                <w:szCs w:val="23"/>
              </w:rPr>
              <w:t xml:space="preserve">предмет </w:t>
            </w:r>
            <w:proofErr w:type="spellStart"/>
            <w:r w:rsidRPr="00383A88">
              <w:rPr>
                <w:sz w:val="23"/>
                <w:szCs w:val="23"/>
              </w:rPr>
              <w:t>закупівлі</w:t>
            </w:r>
            <w:proofErr w:type="spellEnd"/>
          </w:p>
        </w:tc>
        <w:tc>
          <w:tcPr>
            <w:tcW w:w="1418" w:type="dxa"/>
            <w:vAlign w:val="center"/>
          </w:tcPr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r w:rsidRPr="00383A88">
              <w:rPr>
                <w:sz w:val="23"/>
                <w:szCs w:val="23"/>
              </w:rPr>
              <w:t>Тип, марка</w:t>
            </w:r>
          </w:p>
        </w:tc>
        <w:tc>
          <w:tcPr>
            <w:tcW w:w="1984" w:type="dxa"/>
            <w:gridSpan w:val="2"/>
            <w:vAlign w:val="center"/>
          </w:tcPr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proofErr w:type="spellStart"/>
            <w:r w:rsidRPr="00383A88">
              <w:rPr>
                <w:sz w:val="23"/>
                <w:szCs w:val="23"/>
              </w:rPr>
              <w:t>Технічні</w:t>
            </w:r>
            <w:proofErr w:type="spellEnd"/>
            <w:r w:rsidRPr="00383A88">
              <w:rPr>
                <w:sz w:val="23"/>
                <w:szCs w:val="23"/>
              </w:rPr>
              <w:t xml:space="preserve"> характеристики </w:t>
            </w:r>
            <w:proofErr w:type="spellStart"/>
            <w:r w:rsidRPr="00383A88">
              <w:rPr>
                <w:sz w:val="23"/>
                <w:szCs w:val="23"/>
              </w:rPr>
              <w:t>відповідно</w:t>
            </w:r>
            <w:proofErr w:type="spellEnd"/>
            <w:r w:rsidRPr="00383A88">
              <w:rPr>
                <w:sz w:val="23"/>
                <w:szCs w:val="23"/>
              </w:rPr>
              <w:t xml:space="preserve"> до</w:t>
            </w:r>
          </w:p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r w:rsidRPr="00383A88">
              <w:rPr>
                <w:sz w:val="23"/>
                <w:szCs w:val="23"/>
              </w:rPr>
              <w:lastRenderedPageBreak/>
              <w:t>ГОСТ, ДСТУ, ТУ</w:t>
            </w:r>
          </w:p>
        </w:tc>
        <w:tc>
          <w:tcPr>
            <w:tcW w:w="992" w:type="dxa"/>
            <w:vAlign w:val="center"/>
          </w:tcPr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proofErr w:type="spellStart"/>
            <w:r w:rsidRPr="00383A88">
              <w:rPr>
                <w:sz w:val="23"/>
                <w:szCs w:val="23"/>
              </w:rPr>
              <w:lastRenderedPageBreak/>
              <w:t>Розмір</w:t>
            </w:r>
            <w:proofErr w:type="spellEnd"/>
          </w:p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r w:rsidRPr="00383A88">
              <w:rPr>
                <w:sz w:val="23"/>
                <w:szCs w:val="23"/>
              </w:rPr>
              <w:t>(мм)</w:t>
            </w:r>
          </w:p>
        </w:tc>
        <w:tc>
          <w:tcPr>
            <w:tcW w:w="4253" w:type="dxa"/>
            <w:vAlign w:val="center"/>
          </w:tcPr>
          <w:p w:rsidR="00A719A3" w:rsidRPr="00383A88" w:rsidRDefault="00A719A3" w:rsidP="00B3727A">
            <w:pPr>
              <w:pStyle w:val="1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Показники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якості</w:t>
            </w:r>
            <w:proofErr w:type="spellEnd"/>
          </w:p>
        </w:tc>
      </w:tr>
      <w:tr w:rsidR="00A719A3" w:rsidRPr="00383A88" w:rsidTr="00B3727A">
        <w:tc>
          <w:tcPr>
            <w:tcW w:w="13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proofErr w:type="spellStart"/>
            <w:r w:rsidRPr="00383A88">
              <w:rPr>
                <w:sz w:val="23"/>
                <w:szCs w:val="23"/>
              </w:rPr>
              <w:t>Вугілля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sz w:val="23"/>
                <w:szCs w:val="23"/>
              </w:rPr>
              <w:t>кам’яне</w:t>
            </w:r>
            <w:proofErr w:type="spellEnd"/>
          </w:p>
        </w:tc>
        <w:tc>
          <w:tcPr>
            <w:tcW w:w="1418" w:type="dxa"/>
            <w:vAlign w:val="center"/>
          </w:tcPr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r w:rsidRPr="00383A88">
              <w:rPr>
                <w:spacing w:val="3"/>
                <w:sz w:val="23"/>
                <w:szCs w:val="23"/>
              </w:rPr>
              <w:t>Д</w:t>
            </w:r>
            <w:r w:rsidRPr="00383A88">
              <w:rPr>
                <w:sz w:val="23"/>
                <w:szCs w:val="23"/>
              </w:rPr>
              <w:t xml:space="preserve">Г </w:t>
            </w:r>
          </w:p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proofErr w:type="spellStart"/>
            <w:r w:rsidRPr="00383A88">
              <w:rPr>
                <w:sz w:val="23"/>
                <w:szCs w:val="23"/>
              </w:rPr>
              <w:t>або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sz w:val="23"/>
                <w:szCs w:val="23"/>
              </w:rPr>
              <w:t>еквівалент</w:t>
            </w:r>
            <w:proofErr w:type="spellEnd"/>
            <w:r w:rsidRPr="00383A8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r w:rsidRPr="00383A88">
              <w:rPr>
                <w:sz w:val="23"/>
                <w:szCs w:val="23"/>
              </w:rPr>
              <w:t>ДСТУ 3472:2015</w:t>
            </w:r>
          </w:p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r w:rsidRPr="00383A88">
              <w:rPr>
                <w:sz w:val="23"/>
                <w:szCs w:val="23"/>
              </w:rPr>
              <w:t>ДСТУ 7146:2010</w:t>
            </w:r>
          </w:p>
        </w:tc>
        <w:tc>
          <w:tcPr>
            <w:tcW w:w="992" w:type="dxa"/>
            <w:vAlign w:val="center"/>
          </w:tcPr>
          <w:p w:rsidR="00A719A3" w:rsidRPr="00383A88" w:rsidRDefault="00A719A3" w:rsidP="00B372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25</w:t>
            </w:r>
            <w:r w:rsidRPr="00383A88">
              <w:rPr>
                <w:sz w:val="23"/>
                <w:szCs w:val="23"/>
                <w:lang w:eastAsia="en-US"/>
              </w:rPr>
              <w:t>-100</w:t>
            </w:r>
          </w:p>
        </w:tc>
        <w:tc>
          <w:tcPr>
            <w:tcW w:w="4253" w:type="dxa"/>
          </w:tcPr>
          <w:p w:rsidR="00A719A3" w:rsidRPr="00383A88" w:rsidRDefault="00A719A3" w:rsidP="00B3727A">
            <w:pPr>
              <w:pStyle w:val="1"/>
              <w:tabs>
                <w:tab w:val="left" w:pos="42"/>
              </w:tabs>
              <w:ind w:firstLine="1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83A88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Зольність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на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сухий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383A88">
              <w:rPr>
                <w:rFonts w:ascii="Times New Roman" w:hAnsi="Times New Roman"/>
                <w:sz w:val="23"/>
                <w:szCs w:val="23"/>
              </w:rPr>
              <w:t>стан  (</w:t>
            </w:r>
            <w:proofErr w:type="spellStart"/>
            <w:proofErr w:type="gramEnd"/>
            <w:r w:rsidRPr="00383A88">
              <w:rPr>
                <w:rFonts w:ascii="Times New Roman" w:hAnsi="Times New Roman"/>
                <w:sz w:val="23"/>
                <w:szCs w:val="23"/>
              </w:rPr>
              <w:t>Ad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) –  </w:t>
            </w:r>
            <w:r w:rsidRPr="00383A88">
              <w:rPr>
                <w:rFonts w:ascii="Times New Roman" w:hAnsi="Times New Roman"/>
                <w:sz w:val="23"/>
                <w:szCs w:val="23"/>
              </w:rPr>
              <w:tab/>
              <w:t xml:space="preserve">не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більше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1</w:t>
            </w:r>
            <w:r>
              <w:rPr>
                <w:rFonts w:ascii="Times New Roman" w:hAnsi="Times New Roman"/>
                <w:sz w:val="23"/>
                <w:szCs w:val="23"/>
              </w:rPr>
              <w:t>0</w:t>
            </w:r>
            <w:r w:rsidRPr="00383A88">
              <w:rPr>
                <w:rFonts w:ascii="Times New Roman" w:hAnsi="Times New Roman"/>
                <w:sz w:val="23"/>
                <w:szCs w:val="23"/>
              </w:rPr>
              <w:t xml:space="preserve"> %</w:t>
            </w:r>
          </w:p>
          <w:p w:rsidR="00A719A3" w:rsidRPr="00383A88" w:rsidRDefault="00A719A3" w:rsidP="00B3727A">
            <w:pPr>
              <w:pStyle w:val="1"/>
              <w:tabs>
                <w:tab w:val="left" w:pos="467"/>
              </w:tabs>
              <w:ind w:firstLine="1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83A88">
              <w:rPr>
                <w:rFonts w:ascii="Times New Roman" w:hAnsi="Times New Roman"/>
                <w:sz w:val="23"/>
                <w:szCs w:val="23"/>
              </w:rPr>
              <w:t xml:space="preserve">2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Масова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частина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загальної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вологи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Wtr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) в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робочому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стані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– не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більше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1</w:t>
            </w:r>
            <w:r>
              <w:rPr>
                <w:rFonts w:ascii="Times New Roman" w:hAnsi="Times New Roman"/>
                <w:sz w:val="23"/>
                <w:szCs w:val="23"/>
              </w:rPr>
              <w:t>0</w:t>
            </w:r>
            <w:r w:rsidRPr="00383A88">
              <w:rPr>
                <w:rFonts w:ascii="Times New Roman" w:hAnsi="Times New Roman"/>
                <w:sz w:val="23"/>
                <w:szCs w:val="23"/>
              </w:rPr>
              <w:t xml:space="preserve"> %</w:t>
            </w:r>
          </w:p>
          <w:p w:rsidR="00A719A3" w:rsidRPr="00383A88" w:rsidRDefault="00A719A3" w:rsidP="00B3727A">
            <w:pPr>
              <w:pStyle w:val="1"/>
              <w:tabs>
                <w:tab w:val="left" w:pos="467"/>
              </w:tabs>
              <w:ind w:firstLine="1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83A88">
              <w:rPr>
                <w:rFonts w:ascii="Times New Roman" w:hAnsi="Times New Roman"/>
                <w:sz w:val="23"/>
                <w:szCs w:val="23"/>
              </w:rPr>
              <w:t>3</w:t>
            </w:r>
            <w:r w:rsidRPr="00383A88">
              <w:rPr>
                <w:rFonts w:ascii="Times New Roman" w:hAnsi="Times New Roman"/>
                <w:sz w:val="23"/>
                <w:szCs w:val="23"/>
              </w:rPr>
              <w:tab/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Нижча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теплота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згорання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на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робочий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стан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палива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r i Q, МДЖ/кг (ккал/</w:t>
            </w:r>
            <w:proofErr w:type="gramStart"/>
            <w:r w:rsidRPr="00383A88">
              <w:rPr>
                <w:rFonts w:ascii="Times New Roman" w:hAnsi="Times New Roman"/>
                <w:sz w:val="23"/>
                <w:szCs w:val="23"/>
              </w:rPr>
              <w:t>кг)  –</w:t>
            </w:r>
            <w:proofErr w:type="gram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не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менше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ніж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 2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Pr="00383A88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>539(61</w:t>
            </w:r>
            <w:r w:rsidRPr="00383A88">
              <w:rPr>
                <w:rFonts w:ascii="Times New Roman" w:hAnsi="Times New Roman"/>
                <w:sz w:val="23"/>
                <w:szCs w:val="23"/>
              </w:rPr>
              <w:t>00)</w:t>
            </w:r>
          </w:p>
          <w:p w:rsidR="00A719A3" w:rsidRPr="00383A88" w:rsidRDefault="00A719A3" w:rsidP="00B3727A">
            <w:pPr>
              <w:pStyle w:val="1"/>
              <w:jc w:val="both"/>
              <w:rPr>
                <w:sz w:val="23"/>
                <w:szCs w:val="23"/>
              </w:rPr>
            </w:pP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Показники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якості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що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характеризують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безпечність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вугілля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загальна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сірка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на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сухий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стан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палива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Sdt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, (%), хлор на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сухий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стан </w:t>
            </w:r>
            <w:proofErr w:type="gramStart"/>
            <w:r w:rsidRPr="00383A88">
              <w:rPr>
                <w:rFonts w:ascii="Times New Roman" w:hAnsi="Times New Roman"/>
                <w:sz w:val="23"/>
                <w:szCs w:val="23"/>
              </w:rPr>
              <w:t>CID(</w:t>
            </w:r>
            <w:proofErr w:type="gram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%),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миш’як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на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сухий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стан (ASD) 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мають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відповідати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proofErr w:type="spellStart"/>
            <w:r w:rsidRPr="00383A88">
              <w:rPr>
                <w:rFonts w:ascii="Times New Roman" w:hAnsi="Times New Roman"/>
                <w:sz w:val="23"/>
                <w:szCs w:val="23"/>
              </w:rPr>
              <w:t>таблиці</w:t>
            </w:r>
            <w:proofErr w:type="spellEnd"/>
            <w:r w:rsidRPr="00383A88">
              <w:rPr>
                <w:rFonts w:ascii="Times New Roman" w:hAnsi="Times New Roman"/>
                <w:sz w:val="23"/>
                <w:szCs w:val="23"/>
              </w:rPr>
              <w:t xml:space="preserve">  № 2  ДСТУ 7146:2010.</w:t>
            </w:r>
          </w:p>
        </w:tc>
      </w:tr>
    </w:tbl>
    <w:p w:rsidR="00A719A3" w:rsidRDefault="00A719A3" w:rsidP="00987A51">
      <w:pPr>
        <w:spacing w:after="60"/>
        <w:jc w:val="both"/>
        <w:rPr>
          <w:lang w:val="uk-UA"/>
        </w:rPr>
      </w:pPr>
    </w:p>
    <w:p w:rsidR="00745D6C" w:rsidRPr="005718E8" w:rsidRDefault="00253332" w:rsidP="00392A2F">
      <w:pPr>
        <w:spacing w:after="60"/>
        <w:jc w:val="both"/>
        <w:rPr>
          <w:lang w:val="uk-UA"/>
        </w:rPr>
      </w:pPr>
      <w:r w:rsidRPr="00F55ECF">
        <w:rPr>
          <w:lang w:val="uk-UA"/>
        </w:rPr>
        <w:t xml:space="preserve">3. </w:t>
      </w:r>
      <w:r w:rsidRPr="00F55ECF">
        <w:rPr>
          <w:b/>
          <w:lang w:val="uk-UA"/>
        </w:rPr>
        <w:t>Ідентифікатор закупівлі</w:t>
      </w:r>
      <w:r w:rsidR="002B1F7D">
        <w:rPr>
          <w:b/>
          <w:lang w:val="uk-UA"/>
        </w:rPr>
        <w:t xml:space="preserve"> </w:t>
      </w:r>
      <w:r w:rsidR="002B1F7D" w:rsidRPr="002B1F7D">
        <w:rPr>
          <w:b/>
          <w:lang w:val="uk-UA"/>
        </w:rPr>
        <w:tab/>
        <w:t>UA-2024-06-05-006860-a</w:t>
      </w:r>
      <w:bookmarkStart w:id="0" w:name="_GoBack"/>
      <w:bookmarkEnd w:id="0"/>
    </w:p>
    <w:p w:rsidR="00781C33" w:rsidRPr="00BC1E71" w:rsidRDefault="00253332" w:rsidP="00781C33">
      <w:pPr>
        <w:pStyle w:val="21"/>
        <w:shd w:val="clear" w:color="auto" w:fill="auto"/>
        <w:spacing w:after="6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81C33" w:rsidRPr="00BC1E7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1C33" w:rsidRPr="00BC1E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Обґрунтування очікуваної вартості предмета закупівлі, розміру бюджетного призначення</w:t>
      </w:r>
    </w:p>
    <w:p w:rsidR="00781C33" w:rsidRPr="00BC1E71" w:rsidRDefault="00781C33" w:rsidP="00781C33">
      <w:pPr>
        <w:spacing w:after="60"/>
        <w:jc w:val="both"/>
        <w:rPr>
          <w:rFonts w:eastAsia="Calibri"/>
          <w:lang w:val="uk-UA"/>
        </w:rPr>
      </w:pPr>
      <w:r w:rsidRPr="00BC1E71">
        <w:rPr>
          <w:rFonts w:eastAsia="Calibri"/>
          <w:lang w:val="uk-UA"/>
        </w:rPr>
        <w:t>Визначення очікуваної вартості предмета закупівлі обумовлено статистичним аналізом</w:t>
      </w:r>
      <w:r w:rsidRPr="00BC1E71">
        <w:rPr>
          <w:lang w:val="uk-UA"/>
        </w:rPr>
        <w:t xml:space="preserve"> </w:t>
      </w:r>
      <w:r w:rsidRPr="00BC1E71">
        <w:rPr>
          <w:rFonts w:eastAsia="Calibri"/>
          <w:lang w:val="uk-UA"/>
        </w:rPr>
        <w:t xml:space="preserve">загальнодоступної інформації про ціну предмета закупівлі на підставі рекомендацій </w:t>
      </w:r>
      <w:r w:rsidRPr="00BC1E71">
        <w:rPr>
          <w:lang w:val="uk-UA"/>
        </w:rPr>
        <w:t xml:space="preserve">згідно з наказом Мінекономіки від 18.02.2020 №275 </w:t>
      </w:r>
      <w:hyperlink r:id="rId5" w:history="1">
        <w:r w:rsidRPr="00BC1E71">
          <w:rPr>
            <w:rStyle w:val="a4"/>
            <w:rFonts w:eastAsia="SimSun"/>
            <w:lang w:val="uk-UA"/>
          </w:rPr>
          <w:t>"Про затвердження примірної методики визначення очікуваної вартості предмета закупівлі"</w:t>
        </w:r>
      </w:hyperlink>
      <w:r w:rsidRPr="00BC1E71">
        <w:rPr>
          <w:rFonts w:eastAsia="Calibri"/>
          <w:lang w:val="uk-UA"/>
        </w:rPr>
        <w:t>, а саме: згідно з пунктом 1 розділу ІІІ зазначеного наказу, та наявним бюджетним призначенням.</w:t>
      </w:r>
    </w:p>
    <w:p w:rsidR="00B33681" w:rsidRPr="0091742C" w:rsidRDefault="00781C33" w:rsidP="00B33681">
      <w:pPr>
        <w:shd w:val="clear" w:color="auto" w:fill="FFFFFF"/>
        <w:spacing w:after="60"/>
        <w:jc w:val="both"/>
        <w:rPr>
          <w:b/>
          <w:lang w:val="uk-UA" w:eastAsia="zh-CN"/>
        </w:rPr>
      </w:pPr>
      <w:r w:rsidRPr="00BC1E71">
        <w:rPr>
          <w:rFonts w:eastAsia="Calibri"/>
          <w:lang w:val="uk-UA" w:eastAsia="zh-CN"/>
        </w:rPr>
        <w:t>Розмір бюджетного призначення та/або очікувана вартість предмета закупівлі</w:t>
      </w:r>
      <w:bookmarkStart w:id="1" w:name="n183"/>
      <w:bookmarkEnd w:id="1"/>
      <w:r w:rsidRPr="00BC1E71">
        <w:rPr>
          <w:rFonts w:eastAsia="Calibri"/>
          <w:lang w:val="uk-UA" w:eastAsia="zh-CN"/>
        </w:rPr>
        <w:t xml:space="preserve">: </w:t>
      </w:r>
      <w:r w:rsidR="00B33681">
        <w:rPr>
          <w:b/>
          <w:lang w:val="uk-UA" w:eastAsia="zh-CN"/>
        </w:rPr>
        <w:t>924000,00 грн.</w:t>
      </w:r>
      <w:r w:rsidR="00B33681" w:rsidRPr="0091742C">
        <w:rPr>
          <w:b/>
          <w:lang w:val="uk-UA" w:eastAsia="zh-CN"/>
        </w:rPr>
        <w:t xml:space="preserve"> (</w:t>
      </w:r>
      <w:proofErr w:type="spellStart"/>
      <w:r w:rsidR="00B33681" w:rsidRPr="0091742C">
        <w:rPr>
          <w:b/>
          <w:lang w:val="uk-UA" w:eastAsia="zh-CN"/>
        </w:rPr>
        <w:t>Дев</w:t>
      </w:r>
      <w:proofErr w:type="spellEnd"/>
      <w:r w:rsidR="00B33681" w:rsidRPr="0091742C">
        <w:rPr>
          <w:b/>
          <w:lang w:eastAsia="zh-CN"/>
        </w:rPr>
        <w:t>`</w:t>
      </w:r>
      <w:r w:rsidR="00B33681" w:rsidRPr="0091742C">
        <w:rPr>
          <w:b/>
          <w:lang w:val="uk-UA" w:eastAsia="zh-CN"/>
        </w:rPr>
        <w:t>ятсот двадцять чотири тисячі грн</w:t>
      </w:r>
      <w:r w:rsidR="0075753C">
        <w:rPr>
          <w:b/>
          <w:lang w:val="uk-UA" w:eastAsia="zh-CN"/>
        </w:rPr>
        <w:t>.</w:t>
      </w:r>
      <w:r w:rsidR="00B33681" w:rsidRPr="0091742C">
        <w:rPr>
          <w:b/>
          <w:lang w:val="uk-UA" w:eastAsia="zh-CN"/>
        </w:rPr>
        <w:t xml:space="preserve"> 00 коп.)</w:t>
      </w:r>
      <w:r w:rsidR="00B33681">
        <w:rPr>
          <w:b/>
          <w:lang w:val="uk-UA" w:eastAsia="zh-CN"/>
        </w:rPr>
        <w:t>.</w:t>
      </w:r>
    </w:p>
    <w:sectPr w:rsidR="00B33681" w:rsidRPr="0091742C" w:rsidSect="0087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337A3"/>
    <w:rsid w:val="00253332"/>
    <w:rsid w:val="00271944"/>
    <w:rsid w:val="002B1F7D"/>
    <w:rsid w:val="00311100"/>
    <w:rsid w:val="00392A2F"/>
    <w:rsid w:val="003A01C2"/>
    <w:rsid w:val="004D0CDD"/>
    <w:rsid w:val="00554764"/>
    <w:rsid w:val="005610AB"/>
    <w:rsid w:val="005718E8"/>
    <w:rsid w:val="00603832"/>
    <w:rsid w:val="00627030"/>
    <w:rsid w:val="006A3DFD"/>
    <w:rsid w:val="00745D6C"/>
    <w:rsid w:val="00752761"/>
    <w:rsid w:val="0075753C"/>
    <w:rsid w:val="00775D58"/>
    <w:rsid w:val="00781C33"/>
    <w:rsid w:val="00823BDB"/>
    <w:rsid w:val="0087653F"/>
    <w:rsid w:val="00987A51"/>
    <w:rsid w:val="00A503E2"/>
    <w:rsid w:val="00A719A3"/>
    <w:rsid w:val="00AC1E6F"/>
    <w:rsid w:val="00B33681"/>
    <w:rsid w:val="00BB180F"/>
    <w:rsid w:val="00BD12FD"/>
    <w:rsid w:val="00BE718D"/>
    <w:rsid w:val="00D35A9F"/>
    <w:rsid w:val="00DF68BA"/>
    <w:rsid w:val="00F02266"/>
    <w:rsid w:val="00F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32E0"/>
  <w15:docId w15:val="{B95C8DF1-2642-4229-99D5-4FA7A89E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D6C"/>
    <w:pPr>
      <w:ind w:left="720"/>
      <w:contextualSpacing/>
    </w:pPr>
  </w:style>
  <w:style w:type="paragraph" w:customStyle="1" w:styleId="rvps2">
    <w:name w:val="rvps2"/>
    <w:basedOn w:val="a"/>
    <w:qFormat/>
    <w:rsid w:val="005718E8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locked/>
    <w:rsid w:val="00781C33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81C33"/>
    <w:pPr>
      <w:widowControl w:val="0"/>
      <w:shd w:val="clear" w:color="auto" w:fill="FFFFFF"/>
      <w:spacing w:line="240" w:lineRule="atLeas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781C33"/>
    <w:rPr>
      <w:color w:val="0000FF"/>
      <w:u w:val="single"/>
    </w:rPr>
  </w:style>
  <w:style w:type="paragraph" w:styleId="a5">
    <w:name w:val="No Spacing"/>
    <w:uiPriority w:val="1"/>
    <w:qFormat/>
    <w:rsid w:val="00987A51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rsid w:val="00987A5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987A51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Без интервала1"/>
    <w:qFormat/>
    <w:rsid w:val="00AC1E6F"/>
    <w:pPr>
      <w:suppressAutoHyphens/>
      <w:spacing w:after="0" w:line="240" w:lineRule="auto"/>
    </w:pPr>
    <w:rPr>
      <w:rFonts w:ascii="Calibri" w:eastAsia="Arial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.gov.ua/LegislativeActs/Detail?lang=uk-UA&amp;id=fef464cb-f17f-4b3b-aa57-ebb3807be9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2128</Words>
  <Characters>1213</Characters>
  <Application>Microsoft Office Word</Application>
  <DocSecurity>0</DocSecurity>
  <Lines>10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2</cp:revision>
  <dcterms:created xsi:type="dcterms:W3CDTF">2024-06-06T09:43:00Z</dcterms:created>
  <dcterms:modified xsi:type="dcterms:W3CDTF">2024-06-06T09:43:00Z</dcterms:modified>
</cp:coreProperties>
</file>